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4601" w:rsidRDefault="00EE6B01">
      <w:r>
        <w:rPr>
          <w:noProof/>
        </w:rPr>
        <w:drawing>
          <wp:inline distT="0" distB="0" distL="0" distR="0" wp14:anchorId="591BB075" wp14:editId="7C69CB63">
            <wp:extent cx="7667625" cy="5760720"/>
            <wp:effectExtent l="19050" t="19050" r="28575" b="30480"/>
            <wp:docPr id="1" name="Grafiek 1">
              <a:extLst xmlns:a="http://schemas.openxmlformats.org/drawingml/2006/main">
                <a:ext uri="{FF2B5EF4-FFF2-40B4-BE49-F238E27FC236}">
                  <a16:creationId xmlns:a16="http://schemas.microsoft.com/office/drawing/2014/main" id="{543EDCFC-C54D-455B-B991-FF372BC5EB2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bookmarkStart w:id="0" w:name="_GoBack"/>
      <w:bookmarkEnd w:id="0"/>
    </w:p>
    <w:sectPr w:rsidR="00954601" w:rsidSect="00EE6B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B01"/>
    <w:rsid w:val="00954601"/>
    <w:rsid w:val="00EE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C7B4F-85DF-4F9D-BCE2-D642B32BC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nl-N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vert="horz"/>
          <a:lstStyle/>
          <a:p>
            <a:pPr>
              <a:defRPr/>
            </a:pPr>
            <a:r>
              <a:rPr lang="nl-BE"/>
              <a:t>Electriciteits facturen</a:t>
            </a:r>
          </a:p>
        </c:rich>
      </c:tx>
      <c:layout>
        <c:manualLayout>
          <c:xMode val="edge"/>
          <c:yMode val="edge"/>
          <c:x val="0.40205280407702038"/>
          <c:y val="7.6388888888888881E-2"/>
        </c:manualLayout>
      </c:layout>
      <c:overlay val="0"/>
      <c:spPr>
        <a:solidFill>
          <a:schemeClr val="accent5">
            <a:lumMod val="40000"/>
            <a:lumOff val="60000"/>
          </a:schemeClr>
        </a:solidFill>
        <a:ln>
          <a:solidFill>
            <a:srgbClr val="0070C0"/>
          </a:solidFill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5.1882734265163835E-2"/>
          <c:y val="0.15591941632295961"/>
          <c:w val="0.93283191063639892"/>
          <c:h val="0.638514240895669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'Bron graf.'!$A$5</c:f>
              <c:strCache>
                <c:ptCount val="1"/>
                <c:pt idx="0">
                  <c:v>Totaal verbruik in kWh.</c:v>
                </c:pt>
              </c:strCache>
            </c:strRef>
          </c:tx>
          <c:spPr>
            <a:solidFill>
              <a:srgbClr val="5B9BD5"/>
            </a:solidFill>
            <a:ln w="25400">
              <a:noFill/>
            </a:ln>
          </c:spPr>
          <c:invertIfNegative val="0"/>
          <c:dLbls>
            <c:spPr>
              <a:noFill/>
              <a:ln w="25400">
                <a:noFill/>
              </a:ln>
            </c:spPr>
            <c:txPr>
              <a:bodyPr rot="-5400000" vert="horz"/>
              <a:lstStyle/>
              <a:p>
                <a:pPr>
                  <a:defRPr/>
                </a:pPr>
                <a:endParaRPr lang="nl-BE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'Bron graf.'!$B$4:$U$4</c:f>
              <c:numCache>
                <c:formatCode>m/d/yyyy</c:formatCode>
                <c:ptCount val="20"/>
                <c:pt idx="0">
                  <c:v>37202</c:v>
                </c:pt>
                <c:pt idx="1">
                  <c:v>37550</c:v>
                </c:pt>
                <c:pt idx="2">
                  <c:v>37923</c:v>
                </c:pt>
                <c:pt idx="3">
                  <c:v>38287</c:v>
                </c:pt>
                <c:pt idx="4">
                  <c:v>38652</c:v>
                </c:pt>
                <c:pt idx="5">
                  <c:v>39073</c:v>
                </c:pt>
                <c:pt idx="6">
                  <c:v>39438</c:v>
                </c:pt>
                <c:pt idx="7">
                  <c:v>39804</c:v>
                </c:pt>
                <c:pt idx="8">
                  <c:v>40169</c:v>
                </c:pt>
                <c:pt idx="9">
                  <c:v>40534</c:v>
                </c:pt>
                <c:pt idx="10">
                  <c:v>40868</c:v>
                </c:pt>
                <c:pt idx="11">
                  <c:v>41193</c:v>
                </c:pt>
                <c:pt idx="12">
                  <c:v>41558</c:v>
                </c:pt>
                <c:pt idx="13">
                  <c:v>41918</c:v>
                </c:pt>
                <c:pt idx="14">
                  <c:v>42301</c:v>
                </c:pt>
                <c:pt idx="15">
                  <c:v>42653</c:v>
                </c:pt>
                <c:pt idx="16">
                  <c:v>42752</c:v>
                </c:pt>
                <c:pt idx="17">
                  <c:v>43061</c:v>
                </c:pt>
                <c:pt idx="18">
                  <c:v>43220</c:v>
                </c:pt>
                <c:pt idx="19">
                  <c:v>43374</c:v>
                </c:pt>
              </c:numCache>
            </c:numRef>
          </c:cat>
          <c:val>
            <c:numRef>
              <c:f>'Bron graf.'!$B$5:$U$5</c:f>
              <c:numCache>
                <c:formatCode>General</c:formatCode>
                <c:ptCount val="20"/>
                <c:pt idx="0">
                  <c:v>5686</c:v>
                </c:pt>
                <c:pt idx="1">
                  <c:v>4893</c:v>
                </c:pt>
                <c:pt idx="2">
                  <c:v>5248</c:v>
                </c:pt>
                <c:pt idx="3">
                  <c:v>5461</c:v>
                </c:pt>
                <c:pt idx="4">
                  <c:v>4904</c:v>
                </c:pt>
                <c:pt idx="5">
                  <c:v>4975</c:v>
                </c:pt>
                <c:pt idx="6">
                  <c:v>5024</c:v>
                </c:pt>
                <c:pt idx="7">
                  <c:v>5154</c:v>
                </c:pt>
                <c:pt idx="8">
                  <c:v>4912</c:v>
                </c:pt>
                <c:pt idx="9">
                  <c:v>4775</c:v>
                </c:pt>
                <c:pt idx="10">
                  <c:v>3867</c:v>
                </c:pt>
                <c:pt idx="11">
                  <c:v>3864</c:v>
                </c:pt>
                <c:pt idx="12">
                  <c:v>3608</c:v>
                </c:pt>
                <c:pt idx="13">
                  <c:v>3481</c:v>
                </c:pt>
                <c:pt idx="14">
                  <c:v>3500</c:v>
                </c:pt>
                <c:pt idx="15">
                  <c:v>2870</c:v>
                </c:pt>
                <c:pt idx="16">
                  <c:v>904</c:v>
                </c:pt>
                <c:pt idx="17">
                  <c:v>2273</c:v>
                </c:pt>
                <c:pt idx="18">
                  <c:v>2005</c:v>
                </c:pt>
                <c:pt idx="19">
                  <c:v>1131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1A2-4CAD-AA78-A8783328B13C}"/>
            </c:ext>
          </c:extLst>
        </c:ser>
        <c:ser>
          <c:idx val="1"/>
          <c:order val="1"/>
          <c:tx>
            <c:strRef>
              <c:f>'Bron graf.'!$A$6</c:f>
              <c:strCache>
                <c:ptCount val="1"/>
                <c:pt idx="0">
                  <c:v>Totaal bedrag € BTW excl.</c:v>
                </c:pt>
              </c:strCache>
            </c:strRef>
          </c:tx>
          <c:spPr>
            <a:solidFill>
              <a:srgbClr val="ED7D31"/>
            </a:solidFill>
            <a:ln w="25400">
              <a:noFill/>
            </a:ln>
          </c:spPr>
          <c:invertIfNegative val="0"/>
          <c:dLbls>
            <c:spPr>
              <a:noFill/>
              <a:ln w="25400">
                <a:noFill/>
              </a:ln>
            </c:spPr>
            <c:txPr>
              <a:bodyPr rot="-5400000" vert="horz"/>
              <a:lstStyle/>
              <a:p>
                <a:pPr>
                  <a:defRPr b="1" i="0" baseline="0">
                    <a:solidFill>
                      <a:sysClr val="windowText" lastClr="000000"/>
                    </a:solidFill>
                  </a:defRPr>
                </a:pPr>
                <a:endParaRPr lang="nl-BE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'Bron graf.'!$B$4:$U$4</c:f>
              <c:numCache>
                <c:formatCode>m/d/yyyy</c:formatCode>
                <c:ptCount val="20"/>
                <c:pt idx="0">
                  <c:v>37202</c:v>
                </c:pt>
                <c:pt idx="1">
                  <c:v>37550</c:v>
                </c:pt>
                <c:pt idx="2">
                  <c:v>37923</c:v>
                </c:pt>
                <c:pt idx="3">
                  <c:v>38287</c:v>
                </c:pt>
                <c:pt idx="4">
                  <c:v>38652</c:v>
                </c:pt>
                <c:pt idx="5">
                  <c:v>39073</c:v>
                </c:pt>
                <c:pt idx="6">
                  <c:v>39438</c:v>
                </c:pt>
                <c:pt idx="7">
                  <c:v>39804</c:v>
                </c:pt>
                <c:pt idx="8">
                  <c:v>40169</c:v>
                </c:pt>
                <c:pt idx="9">
                  <c:v>40534</c:v>
                </c:pt>
                <c:pt idx="10">
                  <c:v>40868</c:v>
                </c:pt>
                <c:pt idx="11">
                  <c:v>41193</c:v>
                </c:pt>
                <c:pt idx="12">
                  <c:v>41558</c:v>
                </c:pt>
                <c:pt idx="13">
                  <c:v>41918</c:v>
                </c:pt>
                <c:pt idx="14">
                  <c:v>42301</c:v>
                </c:pt>
                <c:pt idx="15">
                  <c:v>42653</c:v>
                </c:pt>
                <c:pt idx="16">
                  <c:v>42752</c:v>
                </c:pt>
                <c:pt idx="17">
                  <c:v>43061</c:v>
                </c:pt>
                <c:pt idx="18">
                  <c:v>43220</c:v>
                </c:pt>
                <c:pt idx="19">
                  <c:v>43374</c:v>
                </c:pt>
              </c:numCache>
            </c:numRef>
          </c:cat>
          <c:val>
            <c:numRef>
              <c:f>'Bron graf.'!$B$6:$U$6</c:f>
              <c:numCache>
                <c:formatCode>General</c:formatCode>
                <c:ptCount val="20"/>
                <c:pt idx="0">
                  <c:v>652</c:v>
                </c:pt>
                <c:pt idx="1">
                  <c:v>521</c:v>
                </c:pt>
                <c:pt idx="2">
                  <c:v>720</c:v>
                </c:pt>
                <c:pt idx="3">
                  <c:v>710</c:v>
                </c:pt>
                <c:pt idx="4">
                  <c:v>602</c:v>
                </c:pt>
                <c:pt idx="5">
                  <c:v>724</c:v>
                </c:pt>
                <c:pt idx="6">
                  <c:v>668</c:v>
                </c:pt>
                <c:pt idx="7">
                  <c:v>668</c:v>
                </c:pt>
                <c:pt idx="8">
                  <c:v>720</c:v>
                </c:pt>
                <c:pt idx="9">
                  <c:v>668</c:v>
                </c:pt>
                <c:pt idx="10">
                  <c:v>703</c:v>
                </c:pt>
                <c:pt idx="11">
                  <c:v>605</c:v>
                </c:pt>
                <c:pt idx="12">
                  <c:v>651</c:v>
                </c:pt>
                <c:pt idx="13">
                  <c:v>633</c:v>
                </c:pt>
                <c:pt idx="14">
                  <c:v>721</c:v>
                </c:pt>
                <c:pt idx="15">
                  <c:v>654</c:v>
                </c:pt>
                <c:pt idx="16">
                  <c:v>221</c:v>
                </c:pt>
                <c:pt idx="17">
                  <c:v>732</c:v>
                </c:pt>
                <c:pt idx="18">
                  <c:v>365</c:v>
                </c:pt>
                <c:pt idx="19">
                  <c:v>254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1A2-4CAD-AA78-A8783328B1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05093456"/>
        <c:axId val="1"/>
      </c:barChart>
      <c:lineChart>
        <c:grouping val="standard"/>
        <c:varyColors val="0"/>
        <c:ser>
          <c:idx val="2"/>
          <c:order val="2"/>
          <c:tx>
            <c:strRef>
              <c:f>'Bron graf.'!$A$7</c:f>
              <c:strCache>
                <c:ptCount val="1"/>
                <c:pt idx="0">
                  <c:v>Totaal €            BTW  incl.</c:v>
                </c:pt>
              </c:strCache>
            </c:strRef>
          </c:tx>
          <c:spPr>
            <a:ln w="28575" cap="rnd">
              <a:solidFill>
                <a:schemeClr val="accent6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1.5234613040828763E-3"/>
                  <c:y val="-5.740204349456318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1A2-4CAD-AA78-A8783328B13C}"/>
                </c:ext>
              </c:extLst>
            </c:dLbl>
            <c:dLbl>
              <c:idx val="1"/>
              <c:layout>
                <c:manualLayout>
                  <c:x val="0"/>
                  <c:y val="-6.09825334333207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1A2-4CAD-AA78-A8783328B13C}"/>
                </c:ext>
              </c:extLst>
            </c:dLbl>
            <c:dLbl>
              <c:idx val="2"/>
              <c:layout>
                <c:manualLayout>
                  <c:x val="-3.0469226081657804E-3"/>
                  <c:y val="-5.843738282714668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C1A2-4CAD-AA78-A8783328B13C}"/>
                </c:ext>
              </c:extLst>
            </c:dLbl>
            <c:dLbl>
              <c:idx val="3"/>
              <c:layout>
                <c:manualLayout>
                  <c:x val="-1.5234613040828763E-3"/>
                  <c:y val="-7.090316835395575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1A2-4CAD-AA78-A8783328B13C}"/>
                </c:ext>
              </c:extLst>
            </c:dLbl>
            <c:dLbl>
              <c:idx val="4"/>
              <c:layout>
                <c:manualLayout>
                  <c:x val="-1.5234613040828763E-3"/>
                  <c:y val="-5.940132483439562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1A2-4CAD-AA78-A8783328B13C}"/>
                </c:ext>
              </c:extLst>
            </c:dLbl>
            <c:dLbl>
              <c:idx val="5"/>
              <c:layout>
                <c:manualLayout>
                  <c:x val="-3.0469226081657527E-3"/>
                  <c:y val="-7.42390013748281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1A2-4CAD-AA78-A8783328B13C}"/>
                </c:ext>
              </c:extLst>
            </c:dLbl>
            <c:dLbl>
              <c:idx val="6"/>
              <c:layout>
                <c:manualLayout>
                  <c:x val="-1.5234613040828763E-3"/>
                  <c:y val="-5.64532558430196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C1A2-4CAD-AA78-A8783328B13C}"/>
                </c:ext>
              </c:extLst>
            </c:dLbl>
            <c:dLbl>
              <c:idx val="7"/>
              <c:layout>
                <c:manualLayout>
                  <c:x val="-4.570383912248629E-3"/>
                  <c:y val="-5.462723409573796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1A2-4CAD-AA78-A8783328B13C}"/>
                </c:ext>
              </c:extLst>
            </c:dLbl>
            <c:dLbl>
              <c:idx val="8"/>
              <c:layout>
                <c:manualLayout>
                  <c:x val="-3.0469226081657527E-3"/>
                  <c:y val="-6.51242032245969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C1A2-4CAD-AA78-A8783328B13C}"/>
                </c:ext>
              </c:extLst>
            </c:dLbl>
            <c:dLbl>
              <c:idx val="9"/>
              <c:layout>
                <c:manualLayout>
                  <c:x val="-1.5234613040828763E-3"/>
                  <c:y val="-6.385936132983377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C1A2-4CAD-AA78-A8783328B13C}"/>
                </c:ext>
              </c:extLst>
            </c:dLbl>
            <c:dLbl>
              <c:idx val="10"/>
              <c:layout>
                <c:manualLayout>
                  <c:x val="-1.523461304082988E-3"/>
                  <c:y val="-6.023793900762404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C1A2-4CAD-AA78-A8783328B13C}"/>
                </c:ext>
              </c:extLst>
            </c:dLbl>
            <c:dLbl>
              <c:idx val="11"/>
              <c:layout>
                <c:manualLayout>
                  <c:x val="-1.523461304082988E-3"/>
                  <c:y val="-6.2997281589801349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C1A2-4CAD-AA78-A8783328B13C}"/>
                </c:ext>
              </c:extLst>
            </c:dLbl>
            <c:dLbl>
              <c:idx val="12"/>
              <c:layout>
                <c:manualLayout>
                  <c:x val="-3.0469226081657527E-3"/>
                  <c:y val="-6.125796775403074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C1A2-4CAD-AA78-A8783328B13C}"/>
                </c:ext>
              </c:extLst>
            </c:dLbl>
            <c:dLbl>
              <c:idx val="13"/>
              <c:layout>
                <c:manualLayout>
                  <c:x val="-3.0469226081657527E-3"/>
                  <c:y val="-6.443569553805789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C1A2-4CAD-AA78-A8783328B13C}"/>
                </c:ext>
              </c:extLst>
            </c:dLbl>
            <c:dLbl>
              <c:idx val="14"/>
              <c:layout>
                <c:manualLayout>
                  <c:x val="-1.5234613040828763E-3"/>
                  <c:y val="-6.157417822772153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C1A2-4CAD-AA78-A8783328B13C}"/>
                </c:ext>
              </c:extLst>
            </c:dLbl>
            <c:dLbl>
              <c:idx val="15"/>
              <c:layout>
                <c:manualLayout>
                  <c:x val="0"/>
                  <c:y val="-4.662448443944507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C1A2-4CAD-AA78-A8783328B13C}"/>
                </c:ext>
              </c:extLst>
            </c:dLbl>
            <c:dLbl>
              <c:idx val="16"/>
              <c:layout>
                <c:manualLayout>
                  <c:x val="-1.0664229128580133E-2"/>
                  <c:y val="-0.10147606549181366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C1A2-4CAD-AA78-A8783328B13C}"/>
                </c:ext>
              </c:extLst>
            </c:dLbl>
            <c:dLbl>
              <c:idx val="17"/>
              <c:layout>
                <c:manualLayout>
                  <c:x val="-3.0469226081658641E-3"/>
                  <c:y val="-4.947053493313342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C1A2-4CAD-AA78-A8783328B13C}"/>
                </c:ext>
              </c:extLst>
            </c:dLbl>
            <c:dLbl>
              <c:idx val="18"/>
              <c:layout>
                <c:manualLayout>
                  <c:x val="-3.0469226081658641E-3"/>
                  <c:y val="-5.637170353705786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C1A2-4CAD-AA78-A8783328B13C}"/>
                </c:ext>
              </c:extLst>
            </c:dLbl>
            <c:dLbl>
              <c:idx val="19"/>
              <c:layout>
                <c:manualLayout>
                  <c:x val="-9.1407678244974817E-3"/>
                  <c:y val="-0.1199657240788347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C1A2-4CAD-AA78-A8783328B13C}"/>
                </c:ext>
              </c:extLst>
            </c:dLbl>
            <c:spPr>
              <a:noFill/>
              <a:ln w="25400">
                <a:noFill/>
              </a:ln>
            </c:spPr>
            <c:txPr>
              <a:bodyPr rot="-5400000" vert="horz"/>
              <a:lstStyle/>
              <a:p>
                <a:pPr>
                  <a:defRPr b="1" i="0" baseline="0">
                    <a:solidFill>
                      <a:schemeClr val="accent6">
                        <a:lumMod val="75000"/>
                      </a:schemeClr>
                    </a:solidFill>
                  </a:defRPr>
                </a:pPr>
                <a:endParaRPr lang="nl-B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'Bron graf.'!$B$4:$U$4</c:f>
              <c:numCache>
                <c:formatCode>m/d/yyyy</c:formatCode>
                <c:ptCount val="20"/>
                <c:pt idx="0">
                  <c:v>37202</c:v>
                </c:pt>
                <c:pt idx="1">
                  <c:v>37550</c:v>
                </c:pt>
                <c:pt idx="2">
                  <c:v>37923</c:v>
                </c:pt>
                <c:pt idx="3">
                  <c:v>38287</c:v>
                </c:pt>
                <c:pt idx="4">
                  <c:v>38652</c:v>
                </c:pt>
                <c:pt idx="5">
                  <c:v>39073</c:v>
                </c:pt>
                <c:pt idx="6">
                  <c:v>39438</c:v>
                </c:pt>
                <c:pt idx="7">
                  <c:v>39804</c:v>
                </c:pt>
                <c:pt idx="8">
                  <c:v>40169</c:v>
                </c:pt>
                <c:pt idx="9">
                  <c:v>40534</c:v>
                </c:pt>
                <c:pt idx="10">
                  <c:v>40868</c:v>
                </c:pt>
                <c:pt idx="11">
                  <c:v>41193</c:v>
                </c:pt>
                <c:pt idx="12">
                  <c:v>41558</c:v>
                </c:pt>
                <c:pt idx="13">
                  <c:v>41918</c:v>
                </c:pt>
                <c:pt idx="14">
                  <c:v>42301</c:v>
                </c:pt>
                <c:pt idx="15">
                  <c:v>42653</c:v>
                </c:pt>
                <c:pt idx="16">
                  <c:v>42752</c:v>
                </c:pt>
                <c:pt idx="17">
                  <c:v>43061</c:v>
                </c:pt>
                <c:pt idx="18">
                  <c:v>43220</c:v>
                </c:pt>
                <c:pt idx="19">
                  <c:v>43374</c:v>
                </c:pt>
              </c:numCache>
            </c:numRef>
          </c:cat>
          <c:val>
            <c:numRef>
              <c:f>'Bron graf.'!$B$7:$U$7</c:f>
              <c:numCache>
                <c:formatCode>0</c:formatCode>
                <c:ptCount val="20"/>
                <c:pt idx="0">
                  <c:v>788.92</c:v>
                </c:pt>
                <c:pt idx="1">
                  <c:v>630.41</c:v>
                </c:pt>
                <c:pt idx="2">
                  <c:v>871.19999999999993</c:v>
                </c:pt>
                <c:pt idx="3">
                  <c:v>859.1</c:v>
                </c:pt>
                <c:pt idx="4">
                  <c:v>728.42</c:v>
                </c:pt>
                <c:pt idx="5">
                  <c:v>876.04</c:v>
                </c:pt>
                <c:pt idx="6">
                  <c:v>808.28</c:v>
                </c:pt>
                <c:pt idx="7">
                  <c:v>808.28</c:v>
                </c:pt>
                <c:pt idx="8">
                  <c:v>871.19999999999993</c:v>
                </c:pt>
                <c:pt idx="9">
                  <c:v>808.28</c:v>
                </c:pt>
                <c:pt idx="10">
                  <c:v>850.63</c:v>
                </c:pt>
                <c:pt idx="11">
                  <c:v>732.05</c:v>
                </c:pt>
                <c:pt idx="12">
                  <c:v>787.70999999999992</c:v>
                </c:pt>
                <c:pt idx="13">
                  <c:v>670.98</c:v>
                </c:pt>
                <c:pt idx="14" formatCode="General">
                  <c:v>776</c:v>
                </c:pt>
                <c:pt idx="15" formatCode="General">
                  <c:v>791</c:v>
                </c:pt>
                <c:pt idx="16" formatCode="General">
                  <c:v>267</c:v>
                </c:pt>
                <c:pt idx="17" formatCode="General">
                  <c:v>885</c:v>
                </c:pt>
                <c:pt idx="18" formatCode="General">
                  <c:v>442</c:v>
                </c:pt>
                <c:pt idx="19" formatCode="General">
                  <c:v>307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6-C1A2-4CAD-AA78-A8783328B1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30509345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nl-BE"/>
          </a:p>
        </c:txPr>
        <c:crossAx val="1"/>
        <c:crossesAt val="2"/>
        <c:auto val="0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3175">
              <a:solidFill>
                <a:srgbClr val="FF0000"/>
              </a:solidFill>
              <a:prstDash val="solid"/>
            </a:ln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rgbClr val="0070C0"/>
            </a:solidFill>
          </a:ln>
          <a:effectLst/>
        </c:spPr>
        <c:txPr>
          <a:bodyPr rot="-60000000" vert="horz"/>
          <a:lstStyle/>
          <a:p>
            <a:pPr>
              <a:defRPr b="1" i="0" baseline="0"/>
            </a:pPr>
            <a:endParaRPr lang="nl-BE"/>
          </a:p>
        </c:txPr>
        <c:crossAx val="305093456"/>
        <c:crosses val="autoZero"/>
        <c:crossBetween val="between"/>
      </c:valAx>
      <c:dateAx>
        <c:axId val="3"/>
        <c:scaling>
          <c:orientation val="minMax"/>
        </c:scaling>
        <c:delete val="1"/>
        <c:axPos val="b"/>
        <c:numFmt formatCode="m/d/yyyy" sourceLinked="1"/>
        <c:majorTickMark val="out"/>
        <c:minorTickMark val="none"/>
        <c:tickLblPos val="nextTo"/>
        <c:crossAx val="4"/>
        <c:crosses val="autoZero"/>
        <c:auto val="1"/>
        <c:lblOffset val="100"/>
        <c:baseTimeUnit val="months"/>
      </c:dateAx>
      <c:valAx>
        <c:axId val="4"/>
        <c:scaling>
          <c:orientation val="minMax"/>
        </c:scaling>
        <c:delete val="0"/>
        <c:axPos val="r"/>
        <c:numFmt formatCode="0" sourceLinked="1"/>
        <c:majorTickMark val="out"/>
        <c:minorTickMark val="none"/>
        <c:tickLblPos val="nextTo"/>
        <c:crossAx val="3"/>
        <c:crosses val="max"/>
        <c:crossBetween val="between"/>
      </c:valAx>
      <c:spPr>
        <a:solidFill>
          <a:schemeClr val="accent4">
            <a:lumMod val="40000"/>
            <a:lumOff val="60000"/>
          </a:schemeClr>
        </a:solidFill>
        <a:ln w="25400">
          <a:solidFill>
            <a:schemeClr val="accent3"/>
          </a:solidFill>
        </a:ln>
        <a:effectLst/>
      </c:spPr>
    </c:plotArea>
    <c:legend>
      <c:legendPos val="b"/>
      <c:layout>
        <c:manualLayout>
          <c:xMode val="edge"/>
          <c:yMode val="edge"/>
          <c:x val="0.10400014856633487"/>
          <c:y val="0.91891097088891283"/>
          <c:w val="0.77823356878846395"/>
          <c:h val="3.6150660961900338E-2"/>
        </c:manualLayout>
      </c:layout>
      <c:overlay val="0"/>
      <c:spPr>
        <a:noFill/>
        <a:ln w="25400">
          <a:solidFill>
            <a:srgbClr val="0070C0"/>
          </a:solidFill>
        </a:ln>
      </c:spPr>
      <c:txPr>
        <a:bodyPr rot="0" vert="horz"/>
        <a:lstStyle/>
        <a:p>
          <a:pPr>
            <a:defRPr sz="1300" b="1" i="0" baseline="0">
              <a:solidFill>
                <a:schemeClr val="accent5">
                  <a:lumMod val="75000"/>
                </a:schemeClr>
              </a:solidFill>
            </a:defRPr>
          </a:pPr>
          <a:endParaRPr lang="nl-BE"/>
        </a:p>
      </c:txPr>
    </c:legend>
    <c:plotVisOnly val="1"/>
    <c:dispBlanksAs val="gap"/>
    <c:showDLblsOverMax val="0"/>
  </c:chart>
  <c:spPr>
    <a:solidFill>
      <a:schemeClr val="accent1">
        <a:lumMod val="20000"/>
        <a:lumOff val="80000"/>
      </a:schemeClr>
    </a:solidFill>
    <a:ln w="50800" cap="flat" cmpd="sng" algn="ctr">
      <a:solidFill>
        <a:schemeClr val="accent6">
          <a:lumMod val="75000"/>
        </a:schemeClr>
      </a:solidFill>
      <a:round/>
    </a:ln>
    <a:effectLst/>
  </c:spPr>
  <c:txPr>
    <a:bodyPr/>
    <a:lstStyle/>
    <a:p>
      <a:pPr>
        <a:defRPr baseline="0">
          <a:solidFill>
            <a:srgbClr val="FF0000"/>
          </a:solidFill>
        </a:defRPr>
      </a:pPr>
      <a:endParaRPr lang="nl-BE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66B33-D79D-44F2-937D-73BF7FF4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Moens MSN</dc:creator>
  <cp:keywords/>
  <dc:description/>
  <cp:lastModifiedBy>Roland Moens MSN</cp:lastModifiedBy>
  <cp:revision>1</cp:revision>
  <dcterms:created xsi:type="dcterms:W3CDTF">2018-12-31T11:35:00Z</dcterms:created>
  <dcterms:modified xsi:type="dcterms:W3CDTF">2018-12-31T11:38:00Z</dcterms:modified>
</cp:coreProperties>
</file>